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Consent</w:t>
      </w:r>
    </w:p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Include Personal Data</w:t>
      </w:r>
    </w:p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 Public Personal Data Sources</w:t>
      </w:r>
    </w:p>
    <w:p w:rsidR="001D3FF9" w:rsidRPr="00C84BD9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(such as reference and address directories)</w:t>
      </w:r>
    </w:p>
    <w:p w:rsidR="001D3FF9" w:rsidRPr="005D49D3" w:rsidRDefault="001D3FF9" w:rsidP="001D3FF9">
      <w:pPr>
        <w:autoSpaceDE w:val="0"/>
        <w:autoSpaceDN w:val="0"/>
        <w:adjustRightInd w:val="0"/>
        <w:spacing w:before="0" w:after="0"/>
        <w:ind w:right="100" w:firstLine="0"/>
        <w:contextualSpacing/>
        <w:outlineLvl w:val="0"/>
        <w:rPr>
          <w:rFonts w:ascii="Times New Roman" w:hAnsi="Times New Roman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236"/>
        <w:gridCol w:w="1754"/>
        <w:gridCol w:w="570"/>
        <w:gridCol w:w="1955"/>
        <w:gridCol w:w="975"/>
        <w:gridCol w:w="2590"/>
      </w:tblGrid>
      <w:tr w:rsidR="001D3FF9" w:rsidTr="00C10DB1">
        <w:tc>
          <w:tcPr>
            <w:tcW w:w="488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I,</w:t>
            </w:r>
          </w:p>
        </w:tc>
        <w:tc>
          <w:tcPr>
            <w:tcW w:w="9080" w:type="dxa"/>
            <w:gridSpan w:val="6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584DC6" w:rsidTr="00C10DB1">
        <w:trPr>
          <w:trHeight w:val="79"/>
        </w:trPr>
        <w:tc>
          <w:tcPr>
            <w:tcW w:w="488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0" w:type="dxa"/>
            <w:gridSpan w:val="6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RPr="00584DC6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5D49D3" w:rsidRDefault="001D3FF9" w:rsidP="001D3FF9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(position)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5D49D3">
            <w:pPr>
              <w:spacing w:before="0" w:after="0"/>
              <w:ind w:right="-147"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</w:tbl>
    <w:p w:rsidR="001D3FF9" w:rsidRPr="00D806C7" w:rsidRDefault="001D3FF9" w:rsidP="009A466E">
      <w:pPr>
        <w:autoSpaceDE w:val="0"/>
        <w:autoSpaceDN w:val="0"/>
        <w:adjustRightInd w:val="0"/>
        <w:spacing w:before="0" w:after="0"/>
        <w:ind w:left="70" w:right="7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pursuant to Federal </w:t>
      </w:r>
      <w:hyperlink r:id="rId7" w:history="1">
        <w:r>
          <w:rPr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“On Personal Data”, CPC-R local regulatory acts regarding personal data, freely, willingly and in my own interests, for the purpose of maintaining the personnel and business </w:t>
      </w:r>
      <w:r w:rsidR="00354109">
        <w:rPr>
          <w:rFonts w:ascii="Times New Roman" w:hAnsi="Times New Roman"/>
        </w:rPr>
        <w:t>records</w:t>
      </w:r>
      <w:r>
        <w:rPr>
          <w:rFonts w:ascii="Times New Roman" w:hAnsi="Times New Roman"/>
        </w:rPr>
        <w:t xml:space="preserve"> (inclusion of personal data in </w:t>
      </w:r>
      <w:r w:rsidR="0035410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public personal data sources, such as reference and address directories) hereby grant my consent to Joint Stock Company "Caspian Pipeli</w:t>
      </w:r>
      <w:r w:rsidR="00354109">
        <w:rPr>
          <w:rFonts w:ascii="Times New Roman" w:hAnsi="Times New Roman"/>
        </w:rPr>
        <w:t xml:space="preserve">ne </w:t>
      </w:r>
      <w:r w:rsidR="00354109">
        <w:rPr>
          <w:rFonts w:ascii="Times New Roman" w:hAnsi="Times New Roman"/>
        </w:rPr>
        <w:br/>
        <w:t>Consortium-R” registered at</w:t>
      </w:r>
      <w:r>
        <w:rPr>
          <w:rFonts w:ascii="Times New Roman" w:hAnsi="Times New Roman"/>
        </w:rPr>
        <w:t xml:space="preserve"> Russian Federation, 353900, Krasnodar Krai, Novorossiysk, Primorsky Okrug Territory, Marine Terminal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include my personal data: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surname, name, patronymic;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date of birth;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month of birth;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year of birth;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place of employment;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position held;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landline and mobile office telephone Nos.;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email address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 the public personal data sources.</w:t>
      </w:r>
    </w:p>
    <w:tbl>
      <w:tblPr>
        <w:tblStyle w:val="a9"/>
        <w:tblW w:w="9687" w:type="dxa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8"/>
        <w:gridCol w:w="2449"/>
        <w:gridCol w:w="3640"/>
      </w:tblGrid>
      <w:tr w:rsidR="001D3FF9" w:rsidTr="009A466E">
        <w:tc>
          <w:tcPr>
            <w:tcW w:w="3598" w:type="dxa"/>
          </w:tcPr>
          <w:p w:rsidR="001D3FF9" w:rsidRDefault="001D3FF9" w:rsidP="009A466E">
            <w:pPr>
              <w:spacing w:before="0" w:after="0"/>
              <w:ind w:left="-27" w:firstLine="0"/>
            </w:pPr>
            <w:r>
              <w:rPr>
                <w:rFonts w:ascii="Times New Roman" w:hAnsi="Times New Roman"/>
              </w:rPr>
              <w:t xml:space="preserve">Hereby I also express my </w:t>
            </w:r>
          </w:p>
        </w:tc>
        <w:tc>
          <w:tcPr>
            <w:tcW w:w="2449" w:type="dxa"/>
          </w:tcPr>
          <w:p w:rsidR="001D3FF9" w:rsidRDefault="001D3FF9" w:rsidP="009A466E">
            <w:pPr>
              <w:spacing w:before="0" w:after="0"/>
              <w:ind w:left="-111" w:right="-109" w:firstLine="0"/>
              <w:jc w:val="center"/>
            </w:pPr>
            <w:r>
              <w:rPr>
                <w:rFonts w:ascii="Times New Roman" w:hAnsi="Times New Roman"/>
              </w:rPr>
              <w:t>consent / dissent</w:t>
            </w:r>
          </w:p>
        </w:tc>
        <w:tc>
          <w:tcPr>
            <w:tcW w:w="3640" w:type="dxa"/>
          </w:tcPr>
          <w:p w:rsidR="001D3FF9" w:rsidRDefault="001D3FF9" w:rsidP="009A466E">
            <w:pPr>
              <w:spacing w:before="0" w:after="0"/>
              <w:ind w:right="-19" w:firstLine="0"/>
            </w:pPr>
            <w:r>
              <w:rPr>
                <w:rFonts w:ascii="Times New Roman" w:hAnsi="Times New Roman"/>
              </w:rPr>
              <w:t xml:space="preserve">to placement of my photo </w:t>
            </w:r>
          </w:p>
        </w:tc>
      </w:tr>
      <w:tr w:rsidR="001D3FF9" w:rsidRPr="00FA1B0F" w:rsidTr="009A466E">
        <w:tc>
          <w:tcPr>
            <w:tcW w:w="3598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449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(underline as appropriate)</w:t>
            </w:r>
          </w:p>
        </w:tc>
        <w:tc>
          <w:tcPr>
            <w:tcW w:w="3640" w:type="dxa"/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 the public personal data sources.</w:t>
      </w:r>
    </w:p>
    <w:p w:rsidR="001D3FF9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My personal data may be processed by automated, non-automated and mixed methods.</w:t>
      </w:r>
    </w:p>
    <w:p w:rsidR="001D3FF9" w:rsidRPr="00D806C7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This Consent is valid from the date of its signing and throughout the employment agreement term.</w:t>
      </w:r>
    </w:p>
    <w:p w:rsidR="001D3FF9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This Consent may be recalled at any time on the basis of my written application.</w:t>
      </w:r>
    </w:p>
    <w:p w:rsidR="001D3FF9" w:rsidRPr="005D49D3" w:rsidRDefault="001D3FF9" w:rsidP="001D3FF9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142"/>
        <w:contextualSpacing/>
        <w:rPr>
          <w:rFonts w:ascii="Times New Roman" w:hAnsi="Times New Roman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2554"/>
        <w:gridCol w:w="252"/>
        <w:gridCol w:w="3425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</w:rPr>
              <w:t xml:space="preserve">" ____________ 20___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(print name)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bCs/>
          <w:kern w:val="32"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D" w:rsidRDefault="003A2BDD" w:rsidP="001D3FF9">
      <w:pPr>
        <w:spacing w:before="0" w:after="0"/>
      </w:pPr>
      <w:r>
        <w:separator/>
      </w:r>
    </w:p>
  </w:endnote>
  <w:endnote w:type="continuationSeparator" w:id="0">
    <w:p w:rsidR="003A2BDD" w:rsidRDefault="003A2BDD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D" w:rsidRDefault="003A2BDD" w:rsidP="001D3FF9">
      <w:pPr>
        <w:spacing w:before="0" w:after="0"/>
      </w:pPr>
      <w:r>
        <w:separator/>
      </w:r>
    </w:p>
  </w:footnote>
  <w:footnote w:type="continuationSeparator" w:id="0">
    <w:p w:rsidR="003A2BDD" w:rsidRDefault="003A2BDD" w:rsidP="001D3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314D7A"/>
    <w:rsid w:val="00354109"/>
    <w:rsid w:val="003A2BDD"/>
    <w:rsid w:val="00584DC6"/>
    <w:rsid w:val="005D49D3"/>
    <w:rsid w:val="00753983"/>
    <w:rsid w:val="00923625"/>
    <w:rsid w:val="009A466E"/>
    <w:rsid w:val="009B556E"/>
    <w:rsid w:val="00C10DB1"/>
    <w:rsid w:val="00C7204B"/>
    <w:rsid w:val="00D419A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0E06BC-277F-49BE-AE82-5B9E01B08248}"/>
</file>

<file path=customXml/itemProps2.xml><?xml version="1.0" encoding="utf-8"?>
<ds:datastoreItem xmlns:ds="http://schemas.openxmlformats.org/officeDocument/2006/customXml" ds:itemID="{2BED26AA-D2B8-4ADC-8C69-D707BB7B4D9D}"/>
</file>

<file path=customXml/itemProps3.xml><?xml version="1.0" encoding="utf-8"?>
<ds:datastoreItem xmlns:ds="http://schemas.openxmlformats.org/officeDocument/2006/customXml" ds:itemID="{F0D43E51-4FBC-4450-B397-E6403F30C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Caspian Pipeline Consortium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2</cp:revision>
  <dcterms:created xsi:type="dcterms:W3CDTF">2026-06-01T11:16:00Z</dcterms:created>
  <dcterms:modified xsi:type="dcterms:W3CDTF">2026-06-01T11:16:00Z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